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310 от 31.08.20026г.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19.06.2026г.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196 от 30.04.2026г.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160 от 27.04.2026г.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20 000 (Двадцать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№80 от 04.03.2026г.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10 000 (Десять тысяч) рублей в счет увеличения компенсационного фонда возмещения вреда, а также предписание об устранении нарушений до 25.04.2026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№246 от 17.06.2025г.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04 августа 2025 года.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№197 от 14.06.2024г.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13.06.2023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№341 от 14.06.2022г.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437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286 от 10.06.2021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233 от 08.05.2020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310 от 02.07.2019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298 от 26.06.2018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 от 02.02.2018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262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161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