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32 от 25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– устранить выявленные нарушения до 16 октября 2026 года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4 от 01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- устранить выявленные нарушения до 29.05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7 от 17.10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70 от 14.10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6 от 16.10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49 от 20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39 от 20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4 от 15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3 от 11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