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238 от 22.06.2026г.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12.11.2026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123 от 09.04.2026г.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– устранить выявленные нарушения до 25 июня 2026 года.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 от 23.01.2026г.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25.06.2026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437 от 30.09.2025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184 от 10.04.2025г.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09.10.2025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№149 от 07.04.2025г.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09.10.2025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№385 от 11.10.2024г.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10.04.2025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№121 от 09.04.2024г.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17.10.2024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№131 от 11.04.2023г.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 от 11.01.2023г.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№609 от 08.11.2022г.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09.02.2023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№484 от 15.08.2022г.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15.11.2022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№375 от 28.06.2022г.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№170 от 07.04.2022г.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№199 от 05.04.2022г.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№93 от 08.02.2022г.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607 от 19.11.2021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10.02.2022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165 от 09.04.2021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№402 от 09.09.2020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145 от 14.04.2020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214 от 06.05.2019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 Акт внеплановой проверки № 667 от 21.12.2018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543 от 12.10.2018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21.12.2018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195 от 30.04.2018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 от 02.05.2017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75 от 04.05.2016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86 от 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211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29.04.2016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 от 30.04.2015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 от 19.01.2015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Предупреждение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61 от 03.05.2014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