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203 от 19.06.2026г.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 рассмотрении ДК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196 от 30.04.2026г.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 о недопустимости впредь аналогичных нарушений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160 от 27.04.2026г.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Наложить штраф в размере 20 000 (Двадцать тысяч) рублей в счет увеличения компенсационного фонда возмещения вреда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№80 от 04.03.2026г.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Наложить штраф в размере 10 000 (Десять тысяч) рублей в счет увеличения компенсационного фонда возмещения вреда, а также предписание об устранении нарушений до 25.04.2026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№246 от 17.06.2025г.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– устранить выявленные нарушения до 04 августа 2025 года.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№197 от 14.06.2024г.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242 от 13.06.2023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№341 от 14.06.2022г.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437 от 24.08.2021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286 от 10.06.2021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26.08.2021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233 от 08.05.2020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310 от 02.07.2019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298 от 26.06.2018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56 от 02.02.2018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262 от 10.11.2017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161 от 18.08.2017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10.11.2017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