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200 от 15.05.2026г.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 от 06.02.2026г.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– устранить выявленные нарушения до 21 мая 2026 года.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 от 16.01.2026г.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21.05.2026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№424 от 17.09.2025г.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 от 13.02.2025г.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 от 13.02.2024г.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 от 14.02.2023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№69 от 14.02.2022г.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 от 11.02.2021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228 от 20.05.2020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68 от 13.02.2020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№664 от 05.11.2019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544 от 24.09.2019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61 от 18.02.2019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