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199 от 08.05.2026г.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152 от 30.04.2026г.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№73 от 20.02.2026г.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14.05.2026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№473 от 31.10.2025г.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26.02.2026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№326 от 22.07.2025г.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– устранить выявленные нарушения до 06 ноября 2025 года.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180 от 28.04.2025г.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№116 от 25.04.2024г.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444 от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384 от 20.07.2021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187 от 30.04.2021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