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195 от 04.05.2026г.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№292 от 17.07.2025г.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139 от 13.03.2025г.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5000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№269 от 22.07.2024г.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№302 от 25.07.2023г.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№207 от 03.05.2023г.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№163 от 14.04.2023г.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14.09.2023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№421 от 28.07.2022г.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№156 от 22.03.2022г.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№98 от 08.02.2022г.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24.03.2022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341 от 26.07.2021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79 от 10.02.2021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533 от 23.12.2020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487 от 11.11.2020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29.12.2020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414 от 23.09.2020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303 от 27.07.2020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24.09.2020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262 от 08.06.2020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09.06.2020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137 от 06.04.2020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368 от 15.07.2019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229 от 12.04.2019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