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№78 от 27.02.2026г.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Меры дисциплинарного воздействия не применены в связи устранением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№0128 от 09.12.2025г.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– устранить выявленные нарушения до 05 марта 2026 года.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№511 от 07.11.2025г.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05.03.2026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241 от 16.05.2025г.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№427 от 09.12.2024г.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№461 от 08.12.2023г.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№633 от 13.12.2022г.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633 от 08.12.2021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507 от 08.12.2020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№690 от 11.12.2019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629 от 12.12.2018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312 от 20.12.2017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236 от 22.12.2016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199 от 18.01.2016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216 от 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209 от 23.01.2012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