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 177"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 177"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2130038619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1082130005286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487 (11.11.2020)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Судленков Алексей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31-10-05, факс: (8352) 31-12-02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Королева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27.02.2020 по 26.02.2021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