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3969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21-С-0448-0718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20 000 (Двадцать тысяч) рублей в счет увеличения компенсационного фонда возмещения вреда и предписание об устранении нарушений до 25.06.2026 г.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16.04.2026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